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fill="FFFFFF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beforeAutospacing="0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1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21"/>
          <w:sz w:val="44"/>
          <w:szCs w:val="44"/>
          <w:shd w:val="clear" w:fill="FFFFFF"/>
          <w:lang w:val="en-US" w:eastAsia="zh-CN" w:bidi="ar-SA"/>
        </w:rPr>
        <w:t>责任追究范围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国元资本及各成员公司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经营管理有关人员违反国家法律法规和公司内部管理规定，未履行或未正确履行职责，致使发生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以下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一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条至第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九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条情形之一，造成国有资产损失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应当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追究责任。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一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条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 公司管控方面的责任追究情形：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（一）违反规定程序或超越权限决定、批准和组织实</w:t>
      </w:r>
      <w:bookmarkStart w:id="0" w:name="_GoBack"/>
      <w:bookmarkEnd w:id="0"/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施重大经营投资事项，或决定、批准和组织实施的重大经营投资事项违反国家法律法规、公司章程。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发生重大违法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违规行为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，造成重大资产损失，影响其持续经营能力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未履行或未正确履行职责致使公司发生较大资产损失，对生产经营、财务状况产生重大影响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对公司重大风险隐患、内控缺陷等问题失察，或虽发现但没有及时报告、处理，造成重大风险等。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二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条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 风险管理方面的责任追究情形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内控及风险管理制度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严重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缺失，内控流程存在重大缺陷或内部控制执行不力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对经营投资重大风险未能及时分析、识别、评估、预警和应对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未按规定对公司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基本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制度、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重要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经济合同和重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大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决策进行法律审核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过度负债危及公司持续经营、恶意逃废金融债务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（五）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瞒报、漏报重大风险及风险损失事件，指使编制虚假财务报告，公司账实严重不符等。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三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 xml:space="preserve">条 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购销管理方面的责任追究情形：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未按照规定订立、履行合同，未履行或未正确履行职责致使合同标的价格等重要条款显失公允，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损害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公司利益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（二）履行合同时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无正当理由放弃应得合同权益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（三）违反规定开展融资性贸易业务或“空转”“走单”等虚假贸易业务。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（四）利用关联交易输送利益。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（五）货物、服务采购未按规定进行招标、规避招标或未执行招标结果。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（六）违反规定提供赊销信用、资质、担保（含抵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押、质押等）或预付款项，利用业务预付或物资交易等方式变相融资或投资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（七）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违规开展商品期货、期权等衍生业务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（八）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未按规定对应收款项及时追索或采取有效保全措施等。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四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 xml:space="preserve">条 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资金管理方面的责任追究情形：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违反决策和审批程序或超越权限批准资金支出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设立“小金库”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违规集资、发行股票（债券）、捐赠、担保、委托理财、拆借资金或开立信用证、办理银行票据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虚列支出套取资金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（五）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违规以个人名义留存资金、收支结算、开立银行账户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（六）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违规超发、滥发职工薪酬福利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（七）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因财务内控缺失或未按照财务内控制度执行，发生侵占、盗取、欺诈等。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五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 xml:space="preserve">条 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转让产权、上市公司股权和资产方面的责任追究情形：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未按规定履行决策和审批程序或超越授权范围转让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财务审计和资产评估违反相关规定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隐匿应当纳入审计、评估范围的资产，组织提供和披露虚假信息，操纵中介机构出具虚假财务审计、资产评估鉴证结果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未按相关规定执行回避制度，造成资产损失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（五）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违反相关规定和公开公平交易原则，低价转让公司产权、上市公司股权和资产等。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六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 xml:space="preserve">条 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固定资产投资方面的责任追究情形：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未按规定进行可行性研究或风险分析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项目概算未经严格审查，严重偏离实际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未按规定履行决策和审批程序擅自投资，造成资产损失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构建项目未按规定招标，干预或操纵招标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（五）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外部环境发生重大变化，未按规定及时调整投资方案并采取止损措施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（六）未按规定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变更工程设计、建设内容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（七）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项目管理混乱，致使建设严重拖期、成本明显高于同类项目等。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七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 xml:space="preserve">条 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投资并购方面的责任追究情形：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投资并购未按规定开展尽职调查，或尽职调查未进行风险分析等，存在重大疏漏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财务审计、资产评估或估值违反相关规定，或投资并购过程中授意、指示中介机构或有关单位出具虚假报告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未按规定履行决策和审批程序，决策未充分考虑重大风险因素，未制定风险防范预案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违规以各种形式为其他合资合作方提供垫资，或通过高溢价并购等手段向关联方输送利益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（五）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投资参股后未按规定或约定行使相应股东权利，发生重大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风险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未及时采取止损措施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（六）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违反规定开展列入负面清单的投资项目。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八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 xml:space="preserve">条 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改组改制方面的责任追究情形：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未按规定履行决策和审批程序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（二）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未按规定组织开展清产核资、财务审计和资产评估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（三）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故意转移、隐匿国有资产或向中介机构提供虚假信息，操纵中介机构出具虚假清产核资、财务审计与资产评估鉴证结果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（四）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将国有资产以明显不公允低价折股、出售或无偿分给其他单位或个人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，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全资母子公司之间资产无偿划转的除外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（五）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在发展混合所有制经济、实施员工持股计划等改组改制过程中变相套取、私分国有股权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eastAsia="zh-CN" w:bidi="ar-SA"/>
        </w:rPr>
        <w:t>（六）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>未按规定收取国有资产转让价款。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>第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eastAsia="zh-CN" w:bidi="ar-SA"/>
        </w:rPr>
        <w:t>九</w:t>
      </w:r>
      <w:r>
        <w:rPr>
          <w:rFonts w:hint="eastAsia" w:ascii="Times New Roman" w:hAnsi="Times New Roman" w:eastAsia="仿宋" w:cs="仿宋"/>
          <w:b/>
          <w:bCs/>
          <w:color w:val="auto"/>
          <w:kern w:val="2"/>
          <w:sz w:val="32"/>
          <w:szCs w:val="32"/>
          <w:shd w:val="clear" w:fill="FFFFFF"/>
          <w:lang w:val="en-US" w:bidi="ar-SA"/>
        </w:rPr>
        <w:t xml:space="preserve">条 </w:t>
      </w:r>
      <w:r>
        <w:rPr>
          <w:rFonts w:hint="eastAsia" w:ascii="Times New Roman" w:hAnsi="Times New Roman" w:eastAsia="仿宋" w:cs="仿宋"/>
          <w:color w:val="auto"/>
          <w:kern w:val="2"/>
          <w:sz w:val="32"/>
          <w:szCs w:val="32"/>
          <w:shd w:val="clear" w:fill="FFFFFF"/>
          <w:lang w:val="en-US" w:bidi="ar-SA"/>
        </w:rPr>
        <w:t xml:space="preserve"> 其他违反规定，未履行或未正确履行职责造成国有资产损失的责任追究情形。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kern w:val="0"/>
          <w:sz w:val="44"/>
          <w:szCs w:val="44"/>
          <w:shd w:val="clear" w:fill="FFFFFF"/>
          <w:lang w:val="en-US" w:eastAsia="zh-CN" w:bidi="ar-SA"/>
        </w:rPr>
      </w:pPr>
    </w:p>
    <w:p>
      <w:pPr>
        <w:rPr>
          <w:shd w:val="clear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F280F9-BDBA-4E44-BF7E-1868279E34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59030D-35C1-406F-89F5-C8FE22A1FFB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8A4D9EF-D21C-4086-971B-AF93372F0B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2C4B529-E11F-4439-949F-9667F0240A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mRiOGFlMjgyYjY0NDAwNWMyMzI3ZDhkZWYwMGIifQ=="/>
  </w:docVars>
  <w:rsids>
    <w:rsidRoot w:val="59EA4886"/>
    <w:rsid w:val="18916031"/>
    <w:rsid w:val="23C95987"/>
    <w:rsid w:val="306727B0"/>
    <w:rsid w:val="59E532E3"/>
    <w:rsid w:val="59EA4886"/>
    <w:rsid w:val="7D64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 2"/>
    <w:basedOn w:val="1"/>
    <w:next w:val="1"/>
    <w:qFormat/>
    <w:uiPriority w:val="0"/>
    <w:pPr>
      <w:widowControl/>
      <w:spacing w:line="360" w:lineRule="auto"/>
      <w:ind w:firstLine="570"/>
    </w:pPr>
    <w:rPr>
      <w:rFonts w:ascii="仿宋_GB2312" w:eastAsia="仿宋_GB2312"/>
      <w:kern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2023-11-14T06:45:00Z</dcterms:created>
  <dc:creator>Josephine</dc:creator>
  <cp:lastModifiedBy>Josephine</cp:lastModifiedBy>
  <dcterms:modified xsi:type="dcterms:W3CDTF">2023-11-15T07:48:55Z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ECC36ABD7C65448D9C5617BE59E54CAC_11</vt:lpwstr>
  </property>
</Properties>
</file>