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微软雅黑" w:eastAsia="方正小标宋简体"/>
          <w:bCs/>
          <w:sz w:val="44"/>
          <w:szCs w:val="44"/>
          <w:shd w:val="clear" w:color="auto" w:fill="FFFFFF"/>
          <w:lang w:val="en-US" w:eastAsia="zh-CN"/>
        </w:rPr>
      </w:pPr>
      <w:r>
        <w:rPr>
          <w:rFonts w:hint="eastAsia" w:ascii="方正小标宋简体" w:hAnsi="微软雅黑" w:eastAsia="方正小标宋简体"/>
          <w:bCs/>
          <w:sz w:val="44"/>
          <w:szCs w:val="44"/>
          <w:shd w:val="clear" w:color="auto" w:fill="FFFFFF"/>
          <w:lang w:val="en-US" w:eastAsia="zh-CN"/>
        </w:rPr>
        <w:t>附件：</w:t>
      </w:r>
    </w:p>
    <w:p>
      <w:pPr>
        <w:spacing w:line="560" w:lineRule="exact"/>
        <w:jc w:val="left"/>
        <w:rPr>
          <w:rFonts w:hint="eastAsia" w:ascii="方正小标宋简体" w:hAnsi="微软雅黑" w:eastAsia="方正小标宋简体"/>
          <w:bCs/>
          <w:sz w:val="44"/>
          <w:szCs w:val="44"/>
          <w:shd w:val="clear" w:color="auto" w:fill="FFFFFF"/>
          <w:lang w:val="en-US" w:eastAsia="zh-CN"/>
        </w:rPr>
      </w:pPr>
    </w:p>
    <w:p>
      <w:pPr>
        <w:spacing w:line="560" w:lineRule="exact"/>
        <w:jc w:val="center"/>
        <w:rPr>
          <w:rFonts w:ascii="方正小标宋简体" w:hAnsi="微软雅黑" w:eastAsia="方正小标宋简体"/>
          <w:bCs/>
          <w:sz w:val="44"/>
          <w:szCs w:val="44"/>
          <w:shd w:val="clear" w:color="auto" w:fill="FFFFFF"/>
        </w:rPr>
      </w:pPr>
      <w:r>
        <w:rPr>
          <w:rFonts w:hint="eastAsia" w:ascii="方正小标宋简体" w:hAnsi="微软雅黑" w:eastAsia="方正小标宋简体"/>
          <w:bCs/>
          <w:sz w:val="44"/>
          <w:szCs w:val="44"/>
          <w:shd w:val="clear" w:color="auto" w:fill="FFFFFF"/>
        </w:rPr>
        <w:t>安徽省股权服务商业保理有限责任公司</w:t>
      </w:r>
    </w:p>
    <w:p>
      <w:pPr>
        <w:spacing w:line="560" w:lineRule="exact"/>
        <w:jc w:val="center"/>
        <w:rPr>
          <w:rFonts w:ascii="方正小标宋简体" w:eastAsia="方正小标宋简体"/>
          <w:sz w:val="44"/>
          <w:szCs w:val="44"/>
        </w:rPr>
      </w:pPr>
      <w:r>
        <w:rPr>
          <w:rFonts w:hint="eastAsia" w:ascii="方正小标宋简体" w:hAnsi="微软雅黑" w:eastAsia="方正小标宋简体"/>
          <w:bCs/>
          <w:sz w:val="44"/>
          <w:szCs w:val="44"/>
          <w:shd w:val="clear" w:color="auto" w:fill="FFFFFF"/>
        </w:rPr>
        <w:t>信息公开管理办法（试行）</w:t>
      </w:r>
    </w:p>
    <w:p>
      <w:pPr>
        <w:spacing w:line="580" w:lineRule="exact"/>
        <w:jc w:val="center"/>
        <w:rPr>
          <w:rFonts w:ascii="方正小标宋简体" w:eastAsia="方正小标宋简体"/>
          <w:sz w:val="44"/>
          <w:szCs w:val="44"/>
        </w:rPr>
      </w:pPr>
    </w:p>
    <w:p>
      <w:pPr>
        <w:spacing w:line="580" w:lineRule="exact"/>
        <w:jc w:val="center"/>
        <w:rPr>
          <w:rFonts w:ascii="黑体" w:hAnsi="黑体" w:eastAsia="黑体" w:cs="Arial"/>
          <w:bCs/>
          <w:kern w:val="0"/>
          <w:sz w:val="32"/>
          <w:szCs w:val="32"/>
        </w:rPr>
      </w:pPr>
      <w:bookmarkStart w:id="0" w:name="_GoBack"/>
      <w:bookmarkEnd w:id="0"/>
      <w:r>
        <w:rPr>
          <w:rFonts w:hint="eastAsia" w:ascii="黑体" w:hAnsi="黑体" w:eastAsia="黑体" w:cs="Arial"/>
          <w:bCs/>
          <w:kern w:val="0"/>
          <w:sz w:val="32"/>
          <w:szCs w:val="32"/>
        </w:rPr>
        <w:t>第一章 总 则</w:t>
      </w:r>
    </w:p>
    <w:p>
      <w:pPr>
        <w:spacing w:line="580" w:lineRule="exact"/>
        <w:ind w:firstLine="643" w:firstLineChars="200"/>
        <w:rPr>
          <w:rFonts w:ascii="仿宋" w:hAnsi="仿宋" w:eastAsia="仿宋"/>
          <w:sz w:val="32"/>
          <w:szCs w:val="32"/>
        </w:rPr>
      </w:pPr>
      <w:r>
        <w:rPr>
          <w:rFonts w:hint="eastAsia" w:ascii="仿宋" w:hAnsi="仿宋" w:eastAsia="仿宋" w:cs="Arial"/>
          <w:b/>
          <w:bCs/>
          <w:kern w:val="0"/>
          <w:sz w:val="32"/>
          <w:szCs w:val="32"/>
        </w:rPr>
        <w:t>第一条</w:t>
      </w:r>
      <w:r>
        <w:rPr>
          <w:rFonts w:hint="eastAsia" w:ascii="仿宋" w:hAnsi="仿宋" w:eastAsia="仿宋"/>
          <w:sz w:val="32"/>
          <w:szCs w:val="32"/>
        </w:rPr>
        <w:t xml:space="preserve"> </w:t>
      </w:r>
      <w:r>
        <w:rPr>
          <w:rFonts w:hint="eastAsia" w:ascii="仿宋" w:hAnsi="仿宋" w:eastAsia="仿宋" w:cs="Arial"/>
          <w:bCs/>
          <w:kern w:val="0"/>
          <w:sz w:val="32"/>
          <w:szCs w:val="32"/>
        </w:rPr>
        <w:t>为加强安徽省股权服务商业保理有限责任公司</w:t>
      </w:r>
      <w:r>
        <w:rPr>
          <w:rFonts w:hint="eastAsia" w:ascii="仿宋" w:hAnsi="仿宋" w:eastAsia="仿宋"/>
          <w:sz w:val="32"/>
          <w:szCs w:val="32"/>
        </w:rPr>
        <w:t>（以下简称“公司”）信息公开工作，</w:t>
      </w:r>
      <w:r>
        <w:rPr>
          <w:rFonts w:hint="eastAsia" w:ascii="仿宋" w:hAnsi="仿宋" w:eastAsia="仿宋"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国元金控集团、国元资本、股权服务等上级主管部门关于信息公开工作的意见和要求，结合公司实际情况，制定本办法。</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第二条 </w:t>
      </w:r>
      <w:r>
        <w:rPr>
          <w:rFonts w:hint="eastAsia" w:ascii="仿宋" w:hAnsi="仿宋" w:eastAsia="仿宋" w:cs="Arial"/>
          <w:bCs/>
          <w:kern w:val="0"/>
          <w:sz w:val="32"/>
          <w:szCs w:val="32"/>
        </w:rPr>
        <w:t>本办法所称“信息”是指公司在从事生产经营活动中形成的涉及公众切身利益的企业信息，以及法律法规明确规定应当公开的企业信息。</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第三条</w:t>
      </w:r>
      <w:r>
        <w:rPr>
          <w:rFonts w:hint="eastAsia" w:ascii="仿宋" w:hAnsi="仿宋" w:eastAsia="仿宋" w:cs="Arial"/>
          <w:bCs/>
          <w:kern w:val="0"/>
          <w:sz w:val="32"/>
          <w:szCs w:val="32"/>
        </w:rPr>
        <w:t xml:space="preserve"> 信息公开应遵循下列基本原则：</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（二）强化责任落实。公司按照“谁形成谁公开，谁公开谁负责”的要求，拟公开信息的相关部门作为责任主体，对所公开的信息负责。</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（三）确保真实准确。遵循公正、公平、便民、及时、准确的原则，确保公开的信息内容真实、数据准确、公开及时，不得有虚假记载、误导性陈述或者重大遗漏。</w:t>
      </w:r>
    </w:p>
    <w:p>
      <w:pPr>
        <w:spacing w:line="580" w:lineRule="exact"/>
        <w:jc w:val="center"/>
        <w:rPr>
          <w:rFonts w:ascii="仿宋" w:hAnsi="仿宋" w:eastAsia="仿宋" w:cs="Arial"/>
          <w:b/>
          <w:bCs/>
          <w:kern w:val="0"/>
          <w:sz w:val="32"/>
          <w:szCs w:val="32"/>
        </w:rPr>
      </w:pPr>
    </w:p>
    <w:p>
      <w:pPr>
        <w:spacing w:line="58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 信息公开的职责分工</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第四条 </w:t>
      </w:r>
      <w:r>
        <w:rPr>
          <w:rFonts w:hint="eastAsia" w:ascii="仿宋" w:hAnsi="仿宋" w:eastAsia="仿宋" w:cs="Arial"/>
          <w:bCs/>
          <w:kern w:val="0"/>
          <w:sz w:val="32"/>
          <w:szCs w:val="32"/>
        </w:rPr>
        <w:t>综合行政部门是信息公开工作的归口管理部门，主要职责包括：</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（一）制定公司信息公开管理相关制度规范;</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（二）组织和协调对拟公开信息的收集与汇总;</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（三）报送上级公司信息技术归口部门统一对外发布信息；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（四）对拟公开信息进行保密审查；</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（五）跟踪信息公开工作的开展运行情况;</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（六）负责信息公开相关文件、资料的管理;</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（七）牵头开展公司信息公开相关的其他工作。</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第五条</w:t>
      </w:r>
      <w:r>
        <w:rPr>
          <w:rFonts w:hint="eastAsia" w:ascii="仿宋" w:hAnsi="仿宋" w:eastAsia="仿宋" w:cs="Arial"/>
          <w:bCs/>
          <w:kern w:val="0"/>
          <w:sz w:val="32"/>
          <w:szCs w:val="32"/>
        </w:rPr>
        <w:t xml:space="preserve"> 综合行政部提请上级公司进行信息公开意识形态安全审核、新闻宣传中涉及信息公开内容的审定工作。</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kern w:val="0"/>
          <w:sz w:val="32"/>
          <w:szCs w:val="32"/>
        </w:rPr>
        <w:t>第六</w:t>
      </w:r>
      <w:r>
        <w:rPr>
          <w:rFonts w:hint="eastAsia" w:ascii="仿宋" w:hAnsi="仿宋" w:eastAsia="仿宋" w:cs="Arial"/>
          <w:b/>
          <w:bCs/>
          <w:kern w:val="0"/>
          <w:sz w:val="32"/>
          <w:szCs w:val="32"/>
        </w:rPr>
        <w:t>条</w:t>
      </w:r>
      <w:r>
        <w:rPr>
          <w:rFonts w:hint="eastAsia" w:ascii="仿宋" w:hAnsi="仿宋" w:eastAsia="仿宋" w:cs="Arial"/>
          <w:bCs/>
          <w:kern w:val="0"/>
          <w:sz w:val="32"/>
          <w:szCs w:val="32"/>
        </w:rPr>
        <w:t xml:space="preserve"> 风控审核部负责信息公开的合规性审核工作，并为信息公开工作提供法律支持与服务。</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kern w:val="0"/>
          <w:sz w:val="32"/>
          <w:szCs w:val="32"/>
        </w:rPr>
        <w:t xml:space="preserve">第七条 </w:t>
      </w:r>
      <w:r>
        <w:rPr>
          <w:rFonts w:hint="eastAsia" w:ascii="仿宋" w:hAnsi="仿宋" w:eastAsia="仿宋" w:cs="Arial"/>
          <w:bCs/>
          <w:kern w:val="0"/>
          <w:sz w:val="32"/>
          <w:szCs w:val="32"/>
        </w:rPr>
        <w:t>公司不具备信息公开渠道和发布载体，拟公开信息内容由公司审核后，在上级公司信息公开平台发布。</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第八条</w:t>
      </w:r>
      <w:r>
        <w:rPr>
          <w:rFonts w:hint="eastAsia" w:ascii="仿宋" w:hAnsi="仿宋" w:eastAsia="仿宋" w:cs="Arial"/>
          <w:bCs/>
          <w:kern w:val="0"/>
          <w:sz w:val="32"/>
          <w:szCs w:val="32"/>
        </w:rPr>
        <w:t xml:space="preserve"> 公司相关部门是公司层面信息公开主体，负责提供、审核职责范围内的相关信息。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综合行政部应当确定一名联络专员为本公司信息公开工作联络人，具体负责公司信息公开工作的开展、协调和落实，解决和反应信息公开工作中遇到的问题和困难。信息公开工作联络人名单应报上级公司信息技术归口部门备案。</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各部门应确定一名工作人员配合信息公开工作联络人展开本部门信息公开工作。</w:t>
      </w:r>
    </w:p>
    <w:p>
      <w:pPr>
        <w:spacing w:line="580" w:lineRule="exact"/>
        <w:ind w:firstLine="640" w:firstLineChars="200"/>
        <w:rPr>
          <w:rFonts w:ascii="仿宋" w:hAnsi="仿宋" w:eastAsia="仿宋" w:cs="Arial"/>
          <w:bCs/>
          <w:kern w:val="0"/>
          <w:sz w:val="32"/>
          <w:szCs w:val="32"/>
        </w:rPr>
      </w:pPr>
    </w:p>
    <w:p>
      <w:pPr>
        <w:spacing w:line="58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第三章 信息公开的范围</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第九条 </w:t>
      </w:r>
      <w:r>
        <w:rPr>
          <w:rFonts w:hint="eastAsia" w:ascii="仿宋" w:hAnsi="仿宋" w:eastAsia="仿宋" w:cs="Arial"/>
          <w:bCs/>
          <w:kern w:val="0"/>
          <w:sz w:val="32"/>
          <w:szCs w:val="32"/>
        </w:rPr>
        <w:t>信息公开内容依照《安徽省属企业信息公开基本目录规范》等文件要求确定，具体包括以下内容：</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（一）企业简介、机构领导等企业信息；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（二）企业经营情况、国有资产保值增值、财务状况等经济信息；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（三）重大决策、重大人事任免、重大项目安排、大额资金运作等“三重一大”事项；</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（四）企业社会责任履行情况；</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（五）有关部门依法要求公开的监督检查问题整改落实情况；</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（六）企业党建信息；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（七）其他依照法律法规规定应当主动公开的信息。</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第十条</w:t>
      </w:r>
      <w:r>
        <w:rPr>
          <w:rFonts w:hint="eastAsia" w:ascii="仿宋" w:hAnsi="仿宋" w:eastAsia="仿宋" w:cs="Arial"/>
          <w:bCs/>
          <w:kern w:val="0"/>
          <w:sz w:val="32"/>
          <w:szCs w:val="32"/>
        </w:rPr>
        <w:t xml:space="preserve"> 下列信息不予公开：</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（一）涉及国家秘密、商业秘密和个人隐私的信息；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（二）公开后可能会影响检查、调查、取证等执法活动的信息；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（三）企业与相关方达成保密协议式条款的约定信息；</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（四）其他法律、行政法规规定不予公开的信息。</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第十一条</w:t>
      </w:r>
      <w:r>
        <w:rPr>
          <w:rFonts w:hint="eastAsia" w:ascii="仿宋" w:hAnsi="仿宋" w:eastAsia="仿宋" w:cs="Arial"/>
          <w:bCs/>
          <w:kern w:val="0"/>
          <w:sz w:val="32"/>
          <w:szCs w:val="32"/>
        </w:rPr>
        <w:t xml:space="preserve"> 拟公开的信息属于下列情形之一的，应当与相关单位进行沟通、确认，保证发布的信息准确一致：</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（一）为保障资本运作项目披露合规性，如公开内容涉及资本运作项目标的企业信息，应提前与相关部门沟通确认；</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（二）拟发布的信息依照国家有关规定，需要批准的而未经批准不得发布；需征得有关机构同意的，未经同意不得发布。</w:t>
      </w:r>
    </w:p>
    <w:p>
      <w:pPr>
        <w:spacing w:line="580" w:lineRule="exact"/>
        <w:ind w:firstLine="640" w:firstLineChars="200"/>
        <w:rPr>
          <w:rFonts w:ascii="仿宋" w:hAnsi="仿宋" w:eastAsia="仿宋" w:cs="Arial"/>
          <w:bCs/>
          <w:kern w:val="0"/>
          <w:sz w:val="32"/>
          <w:szCs w:val="32"/>
        </w:rPr>
      </w:pPr>
    </w:p>
    <w:p>
      <w:pPr>
        <w:spacing w:line="58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第四章 信息公开的方式和程序</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第十二条</w:t>
      </w:r>
      <w:r>
        <w:rPr>
          <w:rFonts w:hint="eastAsia" w:ascii="仿宋" w:hAnsi="仿宋" w:eastAsia="仿宋" w:cs="Arial"/>
          <w:bCs/>
          <w:kern w:val="0"/>
          <w:sz w:val="32"/>
          <w:szCs w:val="32"/>
        </w:rPr>
        <w:t xml:space="preserve"> 上级公司官方网站是公司信息公开的主要载体，根据需要和拟公开信息性质还可通过“两微一端”、企业信息公示、社会责任报告发布、新闻宣传等多种方式，进行企业信息公开。</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第十三条</w:t>
      </w:r>
      <w:r>
        <w:rPr>
          <w:rFonts w:hint="eastAsia" w:ascii="仿宋" w:hAnsi="仿宋" w:eastAsia="仿宋" w:cs="Arial"/>
          <w:bCs/>
          <w:kern w:val="0"/>
          <w:sz w:val="32"/>
          <w:szCs w:val="32"/>
        </w:rPr>
        <w:t xml:space="preserve"> 信息公开主体负责对所公开的信息进行更新。若公开信息发生变更，要按照相关规定及时更新；原则上每年进行一次全面审核。</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第十四条</w:t>
      </w:r>
      <w:r>
        <w:rPr>
          <w:rFonts w:hint="eastAsia" w:ascii="仿宋" w:hAnsi="仿宋" w:eastAsia="仿宋" w:cs="Arial"/>
          <w:bCs/>
          <w:kern w:val="0"/>
          <w:sz w:val="32"/>
          <w:szCs w:val="32"/>
        </w:rPr>
        <w:t xml:space="preserve"> 信息公开程序依照上级公司发布的程序办理。</w:t>
      </w:r>
    </w:p>
    <w:p>
      <w:pPr>
        <w:spacing w:line="580" w:lineRule="exact"/>
        <w:jc w:val="center"/>
        <w:rPr>
          <w:rFonts w:ascii="仿宋" w:hAnsi="仿宋" w:eastAsia="仿宋" w:cs="Arial"/>
          <w:bCs/>
          <w:kern w:val="0"/>
          <w:sz w:val="32"/>
          <w:szCs w:val="32"/>
        </w:rPr>
      </w:pPr>
    </w:p>
    <w:p>
      <w:pPr>
        <w:spacing w:line="58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第五章 信息公开的监督与保障</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第十五条 </w:t>
      </w:r>
      <w:r>
        <w:rPr>
          <w:rFonts w:hint="eastAsia" w:ascii="仿宋" w:hAnsi="仿宋" w:eastAsia="仿宋" w:cs="Arial"/>
          <w:bCs/>
          <w:kern w:val="0"/>
          <w:sz w:val="32"/>
          <w:szCs w:val="32"/>
        </w:rPr>
        <w:t>有下列情形之一的，由公司责令改正;情节严重的，对相关责任人员依法、依纪作出处理:</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（一）未经公司批准私自对外公开企业信息的；</w:t>
      </w:r>
    </w:p>
    <w:p>
      <w:pPr>
        <w:spacing w:line="580" w:lineRule="exact"/>
        <w:ind w:firstLine="620" w:firstLineChars="200"/>
        <w:rPr>
          <w:rFonts w:ascii="仿宋" w:hAnsi="仿宋" w:eastAsia="仿宋" w:cs="Arial"/>
          <w:bCs/>
          <w:w w:val="97"/>
          <w:kern w:val="0"/>
          <w:sz w:val="32"/>
          <w:szCs w:val="32"/>
        </w:rPr>
      </w:pPr>
      <w:r>
        <w:rPr>
          <w:rFonts w:hint="eastAsia" w:ascii="仿宋" w:hAnsi="仿宋" w:eastAsia="仿宋" w:cs="Arial"/>
          <w:bCs/>
          <w:w w:val="97"/>
          <w:kern w:val="0"/>
          <w:sz w:val="32"/>
          <w:szCs w:val="32"/>
        </w:rPr>
        <w:t>（二）公开的信息有虚假记载、误导性陈述或重大遗漏的；</w:t>
      </w:r>
    </w:p>
    <w:p>
      <w:pPr>
        <w:spacing w:line="58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（三）违反国家和安徽省有关法律法规和本办法规定的其他行为。</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第十六条</w:t>
      </w:r>
      <w:r>
        <w:rPr>
          <w:rFonts w:hint="eastAsia" w:ascii="仿宋" w:hAnsi="仿宋" w:eastAsia="仿宋" w:cs="Arial"/>
          <w:bCs/>
          <w:kern w:val="0"/>
          <w:sz w:val="32"/>
          <w:szCs w:val="32"/>
        </w:rPr>
        <w:t xml:space="preserve"> 信息公开工作所需经费纳入公司年度预算中予以统筹保障。</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第十七条 </w:t>
      </w:r>
      <w:r>
        <w:rPr>
          <w:rFonts w:hint="eastAsia" w:ascii="仿宋" w:hAnsi="仿宋" w:eastAsia="仿宋" w:cs="Arial"/>
          <w:bCs/>
          <w:kern w:val="0"/>
          <w:sz w:val="32"/>
          <w:szCs w:val="32"/>
        </w:rPr>
        <w:t>要加强信息公开的舆情监测、收集和处置工作，一旦发现因信息公开引起的重大舆情反应，应及时报告，并采取措施及时妥善处理。</w:t>
      </w:r>
    </w:p>
    <w:p>
      <w:pPr>
        <w:spacing w:line="580" w:lineRule="exact"/>
        <w:ind w:firstLine="640" w:firstLineChars="200"/>
        <w:rPr>
          <w:rFonts w:ascii="仿宋" w:hAnsi="仿宋" w:eastAsia="仿宋" w:cs="Arial"/>
          <w:bCs/>
          <w:kern w:val="0"/>
          <w:sz w:val="32"/>
          <w:szCs w:val="32"/>
        </w:rPr>
      </w:pPr>
    </w:p>
    <w:p>
      <w:pPr>
        <w:spacing w:line="58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 附 则</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 xml:space="preserve">第十八条 </w:t>
      </w:r>
      <w:r>
        <w:rPr>
          <w:rFonts w:hint="eastAsia" w:ascii="仿宋" w:hAnsi="仿宋" w:eastAsia="仿宋" w:cs="Arial"/>
          <w:kern w:val="0"/>
          <w:sz w:val="32"/>
          <w:szCs w:val="32"/>
        </w:rPr>
        <w:t>本办法由公司综合行政部负责解释，报股权服务公司备案，办法内容与上级有关政策、文件不一致时，按上级政策、文件执行。</w:t>
      </w:r>
    </w:p>
    <w:p>
      <w:pPr>
        <w:spacing w:line="580" w:lineRule="exact"/>
        <w:ind w:firstLine="643" w:firstLineChars="200"/>
        <w:rPr>
          <w:rFonts w:ascii="仿宋" w:hAnsi="仿宋" w:eastAsia="仿宋" w:cs="Arial"/>
          <w:bCs/>
          <w:kern w:val="0"/>
          <w:sz w:val="32"/>
          <w:szCs w:val="32"/>
        </w:rPr>
      </w:pPr>
      <w:r>
        <w:rPr>
          <w:rFonts w:hint="eastAsia" w:ascii="仿宋" w:hAnsi="仿宋" w:eastAsia="仿宋" w:cs="Arial"/>
          <w:b/>
          <w:bCs/>
          <w:kern w:val="0"/>
          <w:sz w:val="32"/>
          <w:szCs w:val="32"/>
        </w:rPr>
        <w:t>第十九条</w:t>
      </w:r>
      <w:r>
        <w:rPr>
          <w:rFonts w:hint="eastAsia" w:ascii="仿宋" w:hAnsi="仿宋" w:eastAsia="仿宋" w:cs="Arial"/>
          <w:bCs/>
          <w:kern w:val="0"/>
          <w:sz w:val="32"/>
          <w:szCs w:val="32"/>
        </w:rPr>
        <w:t xml:space="preserve"> 本办法经公司总经理办公会审议通过，自印发之日起施行。</w:t>
      </w: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p>
      <w:pPr>
        <w:spacing w:line="580" w:lineRule="exact"/>
        <w:ind w:firstLine="640" w:firstLineChars="200"/>
        <w:rPr>
          <w:rFonts w:ascii="仿宋" w:hAnsi="仿宋" w:eastAsia="仿宋" w:cs="Arial"/>
          <w:bCs/>
          <w:kern w:val="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276"/>
        <w:gridCol w:w="104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296" w:type="dxa"/>
            <w:gridSpan w:val="6"/>
            <w:vAlign w:val="center"/>
          </w:tcPr>
          <w:p>
            <w:pPr>
              <w:spacing w:line="580" w:lineRule="exact"/>
              <w:jc w:val="center"/>
              <w:rPr>
                <w:rFonts w:ascii="黑体" w:hAnsi="黑体" w:eastAsia="黑体" w:cs="仿宋"/>
                <w:sz w:val="36"/>
                <w:szCs w:val="36"/>
              </w:rPr>
            </w:pPr>
            <w:r>
              <w:rPr>
                <w:rFonts w:hint="eastAsia" w:ascii="黑体" w:hAnsi="黑体" w:eastAsia="黑体" w:cs="仿宋"/>
                <w:sz w:val="36"/>
                <w:szCs w:val="36"/>
              </w:rPr>
              <w:t>安徽省股权服务商业保理有限责任公司</w:t>
            </w:r>
          </w:p>
          <w:p>
            <w:pPr>
              <w:spacing w:line="580" w:lineRule="exact"/>
              <w:jc w:val="center"/>
              <w:rPr>
                <w:rFonts w:ascii="黑体" w:hAnsi="黑体" w:eastAsia="黑体"/>
                <w:sz w:val="36"/>
                <w:szCs w:val="36"/>
              </w:rPr>
            </w:pPr>
            <w:r>
              <w:rPr>
                <w:rFonts w:hint="eastAsia" w:ascii="黑体" w:hAnsi="黑体" w:eastAsia="黑体" w:cs="仿宋"/>
                <w:sz w:val="36"/>
                <w:szCs w:val="36"/>
              </w:rPr>
              <w:t>信息公开审批表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555" w:type="dxa"/>
            <w:vAlign w:val="center"/>
          </w:tcPr>
          <w:p>
            <w:pPr>
              <w:spacing w:line="580" w:lineRule="exact"/>
              <w:jc w:val="center"/>
              <w:rPr>
                <w:rFonts w:ascii="仿宋" w:hAnsi="仿宋" w:eastAsia="仿宋"/>
                <w:sz w:val="30"/>
                <w:szCs w:val="30"/>
              </w:rPr>
            </w:pPr>
            <w:r>
              <w:rPr>
                <w:rFonts w:hint="eastAsia" w:ascii="仿宋" w:hAnsi="仿宋" w:eastAsia="仿宋"/>
                <w:sz w:val="30"/>
                <w:szCs w:val="30"/>
              </w:rPr>
              <w:t>经办部门</w:t>
            </w:r>
          </w:p>
        </w:tc>
        <w:tc>
          <w:tcPr>
            <w:tcW w:w="1275" w:type="dxa"/>
            <w:vAlign w:val="center"/>
          </w:tcPr>
          <w:p>
            <w:pPr>
              <w:spacing w:line="580" w:lineRule="exact"/>
              <w:rPr>
                <w:rFonts w:ascii="仿宋" w:hAnsi="仿宋" w:eastAsia="仿宋"/>
                <w:sz w:val="30"/>
                <w:szCs w:val="30"/>
              </w:rPr>
            </w:pPr>
          </w:p>
        </w:tc>
        <w:tc>
          <w:tcPr>
            <w:tcW w:w="1418" w:type="dxa"/>
            <w:vAlign w:val="center"/>
          </w:tcPr>
          <w:p>
            <w:pPr>
              <w:spacing w:line="580" w:lineRule="exact"/>
              <w:jc w:val="center"/>
              <w:rPr>
                <w:rFonts w:ascii="仿宋" w:hAnsi="仿宋" w:eastAsia="仿宋"/>
                <w:sz w:val="30"/>
                <w:szCs w:val="30"/>
              </w:rPr>
            </w:pPr>
            <w:r>
              <w:rPr>
                <w:rFonts w:hint="eastAsia" w:ascii="仿宋" w:hAnsi="仿宋" w:eastAsia="仿宋"/>
                <w:sz w:val="30"/>
                <w:szCs w:val="30"/>
              </w:rPr>
              <w:t>经办人</w:t>
            </w:r>
          </w:p>
        </w:tc>
        <w:tc>
          <w:tcPr>
            <w:tcW w:w="1276" w:type="dxa"/>
            <w:vAlign w:val="center"/>
          </w:tcPr>
          <w:p>
            <w:pPr>
              <w:spacing w:line="580" w:lineRule="exact"/>
              <w:rPr>
                <w:rFonts w:ascii="仿宋" w:hAnsi="仿宋" w:eastAsia="仿宋"/>
                <w:sz w:val="30"/>
                <w:szCs w:val="30"/>
              </w:rPr>
            </w:pPr>
          </w:p>
        </w:tc>
        <w:tc>
          <w:tcPr>
            <w:tcW w:w="1043" w:type="dxa"/>
            <w:vAlign w:val="center"/>
          </w:tcPr>
          <w:p>
            <w:pPr>
              <w:spacing w:line="580" w:lineRule="exact"/>
              <w:jc w:val="center"/>
              <w:rPr>
                <w:rFonts w:ascii="仿宋" w:hAnsi="仿宋" w:eastAsia="仿宋"/>
                <w:sz w:val="30"/>
                <w:szCs w:val="30"/>
              </w:rPr>
            </w:pPr>
            <w:r>
              <w:rPr>
                <w:rFonts w:hint="eastAsia" w:ascii="仿宋" w:hAnsi="仿宋" w:eastAsia="仿宋"/>
                <w:sz w:val="30"/>
                <w:szCs w:val="30"/>
              </w:rPr>
              <w:t>发布日期</w:t>
            </w:r>
          </w:p>
        </w:tc>
        <w:tc>
          <w:tcPr>
            <w:tcW w:w="1729" w:type="dxa"/>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发布模块</w:t>
            </w:r>
          </w:p>
        </w:tc>
        <w:tc>
          <w:tcPr>
            <w:tcW w:w="5466" w:type="dxa"/>
            <w:gridSpan w:val="4"/>
            <w:vAlign w:val="center"/>
          </w:tcPr>
          <w:p>
            <w:pPr>
              <w:spacing w:line="580" w:lineRule="exact"/>
              <w:jc w:val="center"/>
              <w:rPr>
                <w:rFonts w:ascii="仿宋" w:hAnsi="仿宋" w:eastAsia="仿宋"/>
                <w:sz w:val="30"/>
                <w:szCs w:val="30"/>
              </w:rPr>
            </w:pPr>
            <w:r>
              <w:rPr>
                <w:rFonts w:hint="eastAsia" w:ascii="仿宋" w:hAnsi="仿宋" w:eastAsia="仿宋"/>
                <w:sz w:val="30"/>
                <w:szCs w:val="30"/>
              </w:rPr>
              <w:t>如：企业信息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信息标题</w:t>
            </w:r>
          </w:p>
          <w:p>
            <w:pPr>
              <w:spacing w:line="580" w:lineRule="exact"/>
              <w:rPr>
                <w:rFonts w:ascii="仿宋" w:hAnsi="仿宋" w:eastAsia="仿宋"/>
                <w:sz w:val="30"/>
                <w:szCs w:val="30"/>
              </w:rPr>
            </w:pPr>
            <w:r>
              <w:rPr>
                <w:rFonts w:hint="eastAsia" w:ascii="仿宋" w:hAnsi="仿宋" w:eastAsia="仿宋"/>
                <w:sz w:val="30"/>
                <w:szCs w:val="30"/>
              </w:rPr>
              <w:t>（信息正文见附件）</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部门负责人签字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风控审核部      负责人签字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综合行政部      负责人签字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总经理签字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执行董事签字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分管领导签字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股权服务公司信息技术部负责人签字</w:t>
            </w:r>
          </w:p>
        </w:tc>
        <w:tc>
          <w:tcPr>
            <w:tcW w:w="5466" w:type="dxa"/>
            <w:gridSpan w:val="4"/>
            <w:vAlign w:val="center"/>
          </w:tcPr>
          <w:p>
            <w:pPr>
              <w:spacing w:line="58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30" w:type="dxa"/>
            <w:gridSpan w:val="2"/>
            <w:vAlign w:val="center"/>
          </w:tcPr>
          <w:p>
            <w:pPr>
              <w:spacing w:line="580" w:lineRule="exact"/>
              <w:jc w:val="center"/>
              <w:rPr>
                <w:rFonts w:ascii="仿宋" w:hAnsi="仿宋" w:eastAsia="仿宋"/>
                <w:sz w:val="30"/>
                <w:szCs w:val="30"/>
              </w:rPr>
            </w:pPr>
            <w:r>
              <w:rPr>
                <w:rFonts w:hint="eastAsia" w:ascii="仿宋" w:hAnsi="仿宋" w:eastAsia="仿宋"/>
                <w:sz w:val="30"/>
                <w:szCs w:val="30"/>
              </w:rPr>
              <w:t>备注</w:t>
            </w:r>
          </w:p>
        </w:tc>
        <w:tc>
          <w:tcPr>
            <w:tcW w:w="5466" w:type="dxa"/>
            <w:gridSpan w:val="4"/>
            <w:vAlign w:val="center"/>
          </w:tcPr>
          <w:p>
            <w:pPr>
              <w:spacing w:line="580" w:lineRule="exact"/>
              <w:rPr>
                <w:rFonts w:ascii="仿宋" w:hAnsi="仿宋" w:eastAsia="仿宋"/>
                <w:sz w:val="30"/>
                <w:szCs w:val="30"/>
              </w:rPr>
            </w:pPr>
          </w:p>
        </w:tc>
      </w:tr>
    </w:tbl>
    <w:p>
      <w:pPr>
        <w:spacing w:line="580" w:lineRule="exact"/>
        <w:ind w:firstLine="640" w:firstLineChars="200"/>
        <w:rPr>
          <w:rFonts w:ascii="仿宋" w:hAnsi="仿宋" w:eastAsia="仿宋" w:cs="Arial"/>
          <w:bCs/>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ODdjZTNmNjZkYTJmOWZlMWExYjJkMTdmMWEwMTkifQ=="/>
  </w:docVars>
  <w:rsids>
    <w:rsidRoot w:val="0005684A"/>
    <w:rsid w:val="00006E7D"/>
    <w:rsid w:val="000117B7"/>
    <w:rsid w:val="00020B57"/>
    <w:rsid w:val="0005684A"/>
    <w:rsid w:val="0007406D"/>
    <w:rsid w:val="00076C5A"/>
    <w:rsid w:val="000A6F5C"/>
    <w:rsid w:val="000C0C42"/>
    <w:rsid w:val="000E004C"/>
    <w:rsid w:val="000F3072"/>
    <w:rsid w:val="00117E54"/>
    <w:rsid w:val="00134DC2"/>
    <w:rsid w:val="0015412D"/>
    <w:rsid w:val="0017470D"/>
    <w:rsid w:val="0018198A"/>
    <w:rsid w:val="001865B4"/>
    <w:rsid w:val="00192CFC"/>
    <w:rsid w:val="001A471D"/>
    <w:rsid w:val="001B5E33"/>
    <w:rsid w:val="001B5E6A"/>
    <w:rsid w:val="001F7274"/>
    <w:rsid w:val="00200B86"/>
    <w:rsid w:val="002461DD"/>
    <w:rsid w:val="002477EC"/>
    <w:rsid w:val="002C1FDA"/>
    <w:rsid w:val="002D1E1E"/>
    <w:rsid w:val="002D2E8E"/>
    <w:rsid w:val="002F236E"/>
    <w:rsid w:val="0032055D"/>
    <w:rsid w:val="00397835"/>
    <w:rsid w:val="003C508E"/>
    <w:rsid w:val="004009F6"/>
    <w:rsid w:val="00443B6D"/>
    <w:rsid w:val="00447C59"/>
    <w:rsid w:val="00474C04"/>
    <w:rsid w:val="0049064E"/>
    <w:rsid w:val="004B3819"/>
    <w:rsid w:val="004B3A54"/>
    <w:rsid w:val="00516C48"/>
    <w:rsid w:val="005205B8"/>
    <w:rsid w:val="005F3268"/>
    <w:rsid w:val="00632E14"/>
    <w:rsid w:val="006500A9"/>
    <w:rsid w:val="00662E9F"/>
    <w:rsid w:val="00697229"/>
    <w:rsid w:val="006A5113"/>
    <w:rsid w:val="006B1CD1"/>
    <w:rsid w:val="006C7003"/>
    <w:rsid w:val="006D2BA1"/>
    <w:rsid w:val="006D5A00"/>
    <w:rsid w:val="006F6B63"/>
    <w:rsid w:val="0072229D"/>
    <w:rsid w:val="00775C69"/>
    <w:rsid w:val="00943762"/>
    <w:rsid w:val="009546DD"/>
    <w:rsid w:val="0096276B"/>
    <w:rsid w:val="00964E52"/>
    <w:rsid w:val="00985A41"/>
    <w:rsid w:val="00A33927"/>
    <w:rsid w:val="00A4300E"/>
    <w:rsid w:val="00A5383F"/>
    <w:rsid w:val="00A90390"/>
    <w:rsid w:val="00A93B49"/>
    <w:rsid w:val="00AA3152"/>
    <w:rsid w:val="00AC54C7"/>
    <w:rsid w:val="00B02E4F"/>
    <w:rsid w:val="00B0455D"/>
    <w:rsid w:val="00B40AF5"/>
    <w:rsid w:val="00BD3FFC"/>
    <w:rsid w:val="00C037F0"/>
    <w:rsid w:val="00C10CD3"/>
    <w:rsid w:val="00C17A54"/>
    <w:rsid w:val="00C349A5"/>
    <w:rsid w:val="00C361D9"/>
    <w:rsid w:val="00C7193A"/>
    <w:rsid w:val="00C721A6"/>
    <w:rsid w:val="00C80720"/>
    <w:rsid w:val="00C81656"/>
    <w:rsid w:val="00C82C9D"/>
    <w:rsid w:val="00CA1F03"/>
    <w:rsid w:val="00CA5218"/>
    <w:rsid w:val="00CE44F9"/>
    <w:rsid w:val="00D04034"/>
    <w:rsid w:val="00D13157"/>
    <w:rsid w:val="00D274E1"/>
    <w:rsid w:val="00D570FD"/>
    <w:rsid w:val="00DA1FA3"/>
    <w:rsid w:val="00DA56B6"/>
    <w:rsid w:val="00DD4BBF"/>
    <w:rsid w:val="00DE603A"/>
    <w:rsid w:val="00E14F11"/>
    <w:rsid w:val="00E24E5E"/>
    <w:rsid w:val="00E47EDE"/>
    <w:rsid w:val="00E7390D"/>
    <w:rsid w:val="00E939B0"/>
    <w:rsid w:val="00E942FC"/>
    <w:rsid w:val="00E95ADC"/>
    <w:rsid w:val="00EA478A"/>
    <w:rsid w:val="00EC3B83"/>
    <w:rsid w:val="00ED287A"/>
    <w:rsid w:val="00F9486B"/>
    <w:rsid w:val="00FB0149"/>
    <w:rsid w:val="00FC266A"/>
    <w:rsid w:val="00FD6AAA"/>
    <w:rsid w:val="00FF461A"/>
    <w:rsid w:val="057E413B"/>
    <w:rsid w:val="1366799A"/>
    <w:rsid w:val="17100CCC"/>
    <w:rsid w:val="36664F24"/>
    <w:rsid w:val="5A25454E"/>
    <w:rsid w:val="625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paragraph" w:styleId="7">
    <w:name w:val="Body Text First Indent 2"/>
    <w:unhideWhenUsed/>
    <w:qFormat/>
    <w:uiPriority w:val="99"/>
    <w:pPr>
      <w:widowControl w:val="0"/>
      <w:ind w:firstLine="420" w:firstLineChars="200"/>
      <w:jc w:val="both"/>
    </w:pPr>
    <w:rPr>
      <w:rFonts w:asciiTheme="minorHAnsi" w:hAnsiTheme="minorHAnsi" w:eastAsiaTheme="minorEastAsia" w:cstheme="minorBidi"/>
      <w:kern w:val="2"/>
      <w:sz w:val="32"/>
      <w:szCs w:val="22"/>
      <w:lang w:val="en-US" w:eastAsia="zh-CN"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框文本 字符"/>
    <w:basedOn w:val="10"/>
    <w:link w:val="3"/>
    <w:semiHidden/>
    <w:qFormat/>
    <w:uiPriority w:val="99"/>
    <w:rPr>
      <w:sz w:val="18"/>
      <w:szCs w:val="18"/>
    </w:rPr>
  </w:style>
  <w:style w:type="paragraph" w:customStyle="1" w:styleId="16">
    <w:name w:val="修订1"/>
    <w:hidden/>
    <w:semiHidden/>
    <w:uiPriority w:val="99"/>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2"/>
    <w:semiHidden/>
    <w:qFormat/>
    <w:uiPriority w:val="99"/>
  </w:style>
  <w:style w:type="character" w:customStyle="1" w:styleId="19">
    <w:name w:val="批注主题 字符"/>
    <w:basedOn w:val="18"/>
    <w:link w:val="6"/>
    <w:semiHidden/>
    <w:qFormat/>
    <w:uiPriority w:val="99"/>
    <w:rPr>
      <w:b/>
      <w:bCs/>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F396D-59A9-4EA1-BA54-2BC480A2CBCF}">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2062</Words>
  <Characters>2062</Characters>
  <Lines>15</Lines>
  <Paragraphs>4</Paragraphs>
  <TotalTime>0</TotalTime>
  <ScaleCrop>false</ScaleCrop>
  <LinksUpToDate>false</LinksUpToDate>
  <CharactersWithSpaces>2101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2022-11-03T02:57:00Z</dcterms:created>
  <dc:creator>lenovo</dc:creator>
  <cp:lastModifiedBy>lenovo</cp:lastModifiedBy>
  <cp:lastPrinted>2022-10-28T09:24:00Z</cp:lastPrinted>
  <dcterms:modified xsi:type="dcterms:W3CDTF">2022-11-06T05:59:21Z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B14EEA69197E4A44AFBCAE66A15FC3F8</vt:lpwstr>
  </property>
</Properties>
</file>