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安徽安元投资基金管理有限公司</w:t>
      </w:r>
      <w:bookmarkStart w:id="0" w:name="_GoBack"/>
      <w:r>
        <w:rPr>
          <w:rFonts w:hint="eastAsia" w:ascii="Times New Roman" w:hAnsi="Times New Roman" w:eastAsia="方正小标宋_GBK" w:cs="Times New Roman"/>
          <w:sz w:val="32"/>
          <w:szCs w:val="32"/>
        </w:rPr>
        <w:t>2020年度</w:t>
      </w:r>
    </w:p>
    <w:p>
      <w:pPr>
        <w:jc w:val="center"/>
        <w:rPr>
          <w:rFonts w:ascii="方正小标宋_GBK" w:hAnsi="黑体" w:eastAsia="方正小标宋_GBK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国有资本保值增值情况</w:t>
      </w:r>
    </w:p>
    <w:bookmarkEnd w:id="0"/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据统计，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年安徽安元投资基金管理有限公司国有资产保值增值率为</w:t>
      </w:r>
      <w:r>
        <w:rPr>
          <w:rFonts w:ascii="Times New Roman" w:hAnsi="Times New Roman" w:eastAsia="仿宋_GB2312" w:cs="Times New Roman"/>
          <w:sz w:val="32"/>
          <w:szCs w:val="32"/>
        </w:rPr>
        <w:t>127.32</w:t>
      </w:r>
      <w:r>
        <w:rPr>
          <w:rFonts w:hint="eastAsia" w:ascii="仿宋_GB2312" w:hAnsi="宋体" w:eastAsia="仿宋_GB2312"/>
          <w:sz w:val="32"/>
          <w:szCs w:val="32"/>
        </w:rPr>
        <w:t>%。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安徽安元投资基金管理有限公司</w:t>
      </w: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安徽安元投资基金管理有限公司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年度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国有资本保值增值情况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据统计，2021年安徽安元投资基金管理有限公司国有资产保值增值率为137.28%。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安徽安元投资基金管理有限公司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2022年11月1日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安徽安元投资基金管理有限公司2020年度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主要财务状况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安徽安元投资基金管理有限公司2020年决算情况：年末资产总额9,497.98万元，负债总额1,084.62万元，所有者权益8,413.36万元，资产负债率11.42%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安徽安元投资基金管理有限公司</w:t>
      </w:r>
    </w:p>
    <w:p>
      <w:pPr>
        <w:wordWrap/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2022年11月1日</w:t>
      </w:r>
    </w:p>
    <w:p>
      <w:pPr>
        <w:wordWrap/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/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安徽安元投资基金管理有限公司2021年度</w:t>
      </w:r>
    </w:p>
    <w:p>
      <w:pPr>
        <w:wordWrap/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主要财务状况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安徽安元投资基金管理有限公司2021年决算情况：年末资产总额11,058.62万元，负债总额1,509.17万元，所有者权益9,549.45万元，资产负债率13.65%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安徽安元投资基金管理有限公司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2022年11月1日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安徽安元投资基金管理有限公司2020年度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主要经营情况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安徽安元投资基金管理有限公司2020年决算情况：</w:t>
      </w:r>
      <w:r>
        <w:rPr>
          <w:rFonts w:ascii="Times New Roman" w:hAnsi="Times New Roman" w:eastAsia="仿宋_GB2312" w:cs="Times New Roman"/>
          <w:sz w:val="32"/>
          <w:szCs w:val="32"/>
        </w:rPr>
        <w:t>2020年全年实现总收入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5,80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82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元，实现利润总额2,985.66万元。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安徽安元投资基金管理有限公司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2022年11月1日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安徽安元投资基金管理有限公司2021年度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主要经营情况</w:t>
      </w:r>
    </w:p>
    <w:p>
      <w:pPr>
        <w:wordWrap/>
        <w:spacing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安徽安元投资基金管理有限公司2021年决算情况：2021年全年实现总收入7,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695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83</w:t>
      </w:r>
      <w:r>
        <w:rPr>
          <w:rFonts w:ascii="Times New Roman" w:hAnsi="Times New Roman" w:eastAsia="仿宋_GB2312" w:cs="Times New Roman"/>
          <w:sz w:val="32"/>
          <w:szCs w:val="32"/>
        </w:rPr>
        <w:t>万元，实现利润总额4,192.30万元。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安徽安元投资基金管理有限公司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2022年11月1日</w:t>
      </w:r>
    </w:p>
    <w:p>
      <w:pPr>
        <w:wordWrap w:val="0"/>
        <w:spacing w:line="360" w:lineRule="auto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mFkNTE0MWQ2MTE5ZTI0NWM5ZDBiOWRiZDRiMmYifQ=="/>
  </w:docVars>
  <w:rsids>
    <w:rsidRoot w:val="004C68FB"/>
    <w:rsid w:val="0004530B"/>
    <w:rsid w:val="000A1E00"/>
    <w:rsid w:val="00247D15"/>
    <w:rsid w:val="002618BF"/>
    <w:rsid w:val="002B4923"/>
    <w:rsid w:val="002D55E0"/>
    <w:rsid w:val="00463E90"/>
    <w:rsid w:val="004C68FB"/>
    <w:rsid w:val="00584BBC"/>
    <w:rsid w:val="005922D4"/>
    <w:rsid w:val="005F3FCA"/>
    <w:rsid w:val="008B15DD"/>
    <w:rsid w:val="00C30E02"/>
    <w:rsid w:val="00CE1EA6"/>
    <w:rsid w:val="00DB3FEA"/>
    <w:rsid w:val="00DF74A2"/>
    <w:rsid w:val="00E33200"/>
    <w:rsid w:val="00E71A23"/>
    <w:rsid w:val="00F4183E"/>
    <w:rsid w:val="00FD5234"/>
    <w:rsid w:val="6BB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65</Words>
  <Characters>81</Characters>
  <Lines>1</Lines>
  <Paragraphs>1</Paragraphs>
  <TotalTime>2</TotalTime>
  <ScaleCrop>false</ScaleCrop>
  <LinksUpToDate>false</LinksUpToDate>
  <CharactersWithSpaces>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2022-11-01T07:28:00Z</dcterms:created>
  <dc:creator>HP</dc:creator>
  <cp:lastModifiedBy>方清</cp:lastModifiedBy>
  <cp:lastPrinted>2022-11-08T03:18:57Z</cp:lastPrinted>
  <dcterms:modified xsi:type="dcterms:W3CDTF">2022-11-08T06:30:29Z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B5D3AFC75F1141948A35079B2B76D6E2</vt:lpwstr>
  </property>
</Properties>
</file>